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2304CE8E">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济南成型厂铸造一部造型主机压力容器更换维修项目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ZBGL2026080241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铸造一部造型主机压力容器更换维修项目，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79632530"/>
      <w:bookmarkEnd w:id="5"/>
      <w:bookmarkStart w:id="6" w:name="_Toc144974482"/>
      <w:bookmarkEnd w:id="6"/>
      <w:bookmarkStart w:id="7" w:name="_Toc285809451"/>
      <w:bookmarkEnd w:id="7"/>
      <w:bookmarkStart w:id="8" w:name="_Toc152045514"/>
      <w:bookmarkEnd w:id="8"/>
      <w:bookmarkStart w:id="9" w:name="_Toc15204229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铸造一部造型主机压力容器更换维修项目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ZBGL2026080241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本次招标为中国重汽济南成型厂铸造一部造型主机压力容器更换维修项目，具体内容如下：</w:t>
      </w:r>
    </w:p>
    <w:tbl>
      <w:tblPr>
        <w:tblStyle w:val="49"/>
        <w:tblW w:w="47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
        <w:gridCol w:w="4165"/>
        <w:gridCol w:w="1704"/>
        <w:gridCol w:w="1158"/>
        <w:gridCol w:w="1158"/>
      </w:tblGrid>
      <w:tr w14:paraId="2B16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1" w:type="pct"/>
            <w:vAlign w:val="center"/>
          </w:tcPr>
          <w:p w14:paraId="45B0E38C">
            <w:pPr>
              <w:spacing w:line="320" w:lineRule="exact"/>
              <w:jc w:val="center"/>
              <w:rPr>
                <w:rFonts w:ascii="宋体"/>
              </w:rPr>
            </w:pPr>
            <w:r>
              <w:rPr>
                <w:rFonts w:hint="eastAsia" w:ascii="宋体"/>
              </w:rPr>
              <w:t>序号</w:t>
            </w:r>
          </w:p>
        </w:tc>
        <w:tc>
          <w:tcPr>
            <w:tcW w:w="2410" w:type="pct"/>
            <w:vAlign w:val="center"/>
          </w:tcPr>
          <w:p w14:paraId="11CE120C">
            <w:pPr>
              <w:spacing w:line="320" w:lineRule="exact"/>
              <w:jc w:val="center"/>
              <w:rPr>
                <w:rFonts w:ascii="宋体"/>
              </w:rPr>
            </w:pPr>
            <w:r>
              <w:rPr>
                <w:rFonts w:hint="eastAsia" w:ascii="宋体"/>
              </w:rPr>
              <w:t>项目名称</w:t>
            </w:r>
          </w:p>
        </w:tc>
        <w:tc>
          <w:tcPr>
            <w:tcW w:w="986" w:type="pct"/>
            <w:vAlign w:val="center"/>
          </w:tcPr>
          <w:p w14:paraId="2D88FF49">
            <w:pPr>
              <w:jc w:val="center"/>
              <w:rPr>
                <w:rFonts w:hint="default" w:ascii="宋体" w:eastAsia="宋体"/>
                <w:lang w:val="en-US" w:eastAsia="zh-CN"/>
              </w:rPr>
            </w:pPr>
            <w:r>
              <w:rPr>
                <w:rFonts w:hint="eastAsia" w:ascii="宋体"/>
                <w:lang w:val="en-US" w:eastAsia="zh-CN"/>
              </w:rPr>
              <w:t>设备名称</w:t>
            </w:r>
          </w:p>
        </w:tc>
        <w:tc>
          <w:tcPr>
            <w:tcW w:w="670" w:type="pct"/>
            <w:vAlign w:val="center"/>
          </w:tcPr>
          <w:p w14:paraId="0B9D9418">
            <w:pPr>
              <w:spacing w:line="320" w:lineRule="exact"/>
              <w:jc w:val="center"/>
              <w:rPr>
                <w:rFonts w:hint="default" w:ascii="宋体" w:eastAsia="宋体"/>
                <w:lang w:val="en-US" w:eastAsia="zh-CN"/>
              </w:rPr>
            </w:pPr>
            <w:r>
              <w:rPr>
                <w:rFonts w:hint="eastAsia" w:ascii="宋体"/>
                <w:lang w:val="en-US" w:eastAsia="zh-CN"/>
              </w:rPr>
              <w:t>设备型号</w:t>
            </w:r>
          </w:p>
        </w:tc>
        <w:tc>
          <w:tcPr>
            <w:tcW w:w="670" w:type="pct"/>
            <w:shd w:val="clear" w:color="auto" w:fill="auto"/>
            <w:vAlign w:val="center"/>
          </w:tcPr>
          <w:p w14:paraId="5B5942D1">
            <w:pPr>
              <w:spacing w:line="320" w:lineRule="exact"/>
              <w:jc w:val="center"/>
              <w:rPr>
                <w:rFonts w:hint="eastAsia" w:ascii="宋体" w:hAnsi="Times New Roman" w:eastAsia="宋体" w:cs="Times New Roman"/>
                <w:kern w:val="2"/>
                <w:sz w:val="21"/>
                <w:lang w:val="en-US" w:eastAsia="zh-CN" w:bidi="ar-SA"/>
              </w:rPr>
            </w:pPr>
            <w:r>
              <w:rPr>
                <w:rFonts w:hint="eastAsia" w:ascii="宋体"/>
                <w:lang w:val="en-US" w:eastAsia="zh-CN"/>
              </w:rPr>
              <w:t>数量</w:t>
            </w:r>
          </w:p>
        </w:tc>
      </w:tr>
      <w:tr w14:paraId="1D3C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1" w:type="pct"/>
            <w:vAlign w:val="center"/>
          </w:tcPr>
          <w:p w14:paraId="01386537">
            <w:pPr>
              <w:spacing w:line="320" w:lineRule="exact"/>
              <w:jc w:val="center"/>
              <w:rPr>
                <w:rFonts w:hint="eastAsia" w:ascii="宋体"/>
              </w:rPr>
            </w:pPr>
            <w:r>
              <w:rPr>
                <w:rFonts w:hint="eastAsia" w:ascii="宋体"/>
              </w:rPr>
              <w:t>1</w:t>
            </w:r>
          </w:p>
        </w:tc>
        <w:tc>
          <w:tcPr>
            <w:tcW w:w="2410" w:type="pct"/>
            <w:vAlign w:val="center"/>
          </w:tcPr>
          <w:p w14:paraId="24660A62">
            <w:pPr>
              <w:spacing w:line="320" w:lineRule="exact"/>
              <w:jc w:val="center"/>
              <w:rPr>
                <w:rFonts w:hint="eastAsia" w:ascii="宋体"/>
                <w:lang w:eastAsia="zh-CN"/>
              </w:rPr>
            </w:pPr>
            <w:r>
              <w:rPr>
                <w:rFonts w:hint="eastAsia" w:ascii="宋体"/>
                <w:lang w:val="en-US" w:eastAsia="zh-CN"/>
              </w:rPr>
              <w:t>铸造一部造型主机压力容器更换维修</w:t>
            </w:r>
          </w:p>
        </w:tc>
        <w:tc>
          <w:tcPr>
            <w:tcW w:w="986" w:type="pct"/>
            <w:vAlign w:val="center"/>
          </w:tcPr>
          <w:p w14:paraId="1A270DCE">
            <w:pPr>
              <w:spacing w:line="320" w:lineRule="exact"/>
              <w:jc w:val="center"/>
              <w:rPr>
                <w:rFonts w:hint="default" w:ascii="宋体"/>
                <w:lang w:val="en-US" w:eastAsia="zh-CN"/>
              </w:rPr>
            </w:pPr>
            <w:r>
              <w:rPr>
                <w:rFonts w:hint="eastAsia" w:ascii="宋体"/>
                <w:lang w:val="en-US" w:eastAsia="zh-CN"/>
              </w:rPr>
              <w:t>静压线主机</w:t>
            </w:r>
          </w:p>
        </w:tc>
        <w:tc>
          <w:tcPr>
            <w:tcW w:w="670" w:type="pct"/>
            <w:vAlign w:val="center"/>
          </w:tcPr>
          <w:p w14:paraId="220942DB">
            <w:pPr>
              <w:spacing w:line="320" w:lineRule="exact"/>
              <w:jc w:val="center"/>
              <w:rPr>
                <w:rFonts w:hint="default" w:ascii="宋体"/>
                <w:lang w:val="en-US" w:eastAsia="zh-CN"/>
              </w:rPr>
            </w:pPr>
            <w:r>
              <w:rPr>
                <w:rFonts w:hint="default" w:ascii="宋体"/>
                <w:lang w:val="en-US" w:eastAsia="zh-CN"/>
              </w:rPr>
              <w:t>EFA-SD6.5</w:t>
            </w:r>
          </w:p>
        </w:tc>
        <w:tc>
          <w:tcPr>
            <w:tcW w:w="670" w:type="pct"/>
            <w:shd w:val="clear" w:color="auto" w:fill="auto"/>
            <w:vAlign w:val="center"/>
          </w:tcPr>
          <w:p w14:paraId="6DBAC4E2">
            <w:pPr>
              <w:spacing w:line="320" w:lineRule="exact"/>
              <w:jc w:val="center"/>
              <w:rPr>
                <w:rFonts w:hint="eastAsia" w:ascii="宋体"/>
                <w:lang w:val="en-US" w:eastAsia="zh-CN"/>
              </w:rPr>
            </w:pPr>
            <w:r>
              <w:rPr>
                <w:rFonts w:hint="eastAsia" w:ascii="宋体"/>
                <w:lang w:val="en-US" w:eastAsia="zh-CN"/>
              </w:rPr>
              <w:t>1台</w:t>
            </w:r>
          </w:p>
        </w:tc>
      </w:tr>
    </w:tbl>
    <w:p w14:paraId="3D78122B">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heme="minorEastAsia" w:hAnsiTheme="minorEastAsia" w:eastAsiaTheme="minorEastAsia" w:cstheme="minorEastAsia"/>
          <w:kern w:val="0"/>
          <w:sz w:val="24"/>
          <w:szCs w:val="24"/>
          <w:lang w:val="en-US" w:eastAsia="zh-CN" w:bidi="en-US"/>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；经营范围</w:t>
      </w:r>
      <w:r>
        <w:rPr>
          <w:rFonts w:ascii="宋体" w:hAnsi="宋体" w:eastAsia="宋体" w:cs="宋体"/>
          <w:sz w:val="24"/>
          <w:szCs w:val="24"/>
        </w:rPr>
        <w:t>具有特种设备</w:t>
      </w:r>
      <w:r>
        <w:rPr>
          <w:rFonts w:hint="eastAsia" w:ascii="宋体" w:hAnsi="宋体" w:cs="宋体"/>
          <w:sz w:val="24"/>
          <w:szCs w:val="24"/>
          <w:lang w:val="en-US" w:eastAsia="zh-CN"/>
        </w:rPr>
        <w:t>和</w:t>
      </w:r>
      <w:r>
        <w:rPr>
          <w:rFonts w:ascii="宋体" w:hAnsi="宋体" w:eastAsia="宋体" w:cs="宋体"/>
          <w:sz w:val="24"/>
          <w:szCs w:val="24"/>
        </w:rPr>
        <w:t>压力容器修理、安装、施工等相关资质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报名截止时间：2026年9月9日17:00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2026年9月15日9:00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2026年9月15日13:30（若有变动，另行通知）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技术联系人：秦承凯 18765319383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2026年9月12日17:00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720ECE2F">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eastAsiaTheme="minorEastAsia"/>
          <w:b/>
          <w:bCs/>
          <w:lang w:val="en-US" w:eastAsia="zh-CN"/>
        </w:rPr>
      </w:pPr>
      <w:r>
        <w:rPr>
          <w:rFonts w:hint="eastAsia" w:ascii="宋体" w:hAnsi="宋体" w:eastAsia="宋体" w:cs="宋体"/>
          <w:color w:val="000000"/>
          <w:sz w:val="24"/>
          <w:szCs w:val="24"/>
          <w:highlight w:val="none"/>
          <w:lang w:val="en-US" w:eastAsia="zh-CN"/>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合理最低价的原则选择中标厂家。</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6"/>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7"/>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7"/>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2026年9月12日17：00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bookmarkStart w:id="23" w:name="_GoBack"/>
      <w:bookmarkEnd w:id="23"/>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8"/>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9"/>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9"/>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6"/>
      <w:bookmarkStart w:id="11" w:name="OLE_LINK27"/>
      <w:bookmarkStart w:id="12" w:name="OLE_LINK29"/>
      <w:bookmarkStart w:id="13" w:name="OLE_LINK25"/>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项目名称：铸造一部造型主机压力容器更换维修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集团济南成型厂铸造一部造型主机压力容器更换维修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53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
        <w:gridCol w:w="3965"/>
        <w:gridCol w:w="1621"/>
        <w:gridCol w:w="1102"/>
        <w:gridCol w:w="1102"/>
      </w:tblGrid>
      <w:tr w14:paraId="5C42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261" w:type="pct"/>
            <w:vAlign w:val="center"/>
          </w:tcPr>
          <w:p w14:paraId="77BE3F0A">
            <w:pPr>
              <w:spacing w:line="320" w:lineRule="exact"/>
              <w:jc w:val="center"/>
              <w:rPr>
                <w:rFonts w:ascii="宋体"/>
              </w:rPr>
            </w:pPr>
            <w:r>
              <w:rPr>
                <w:rFonts w:hint="eastAsia" w:ascii="宋体"/>
              </w:rPr>
              <w:t>序号</w:t>
            </w:r>
          </w:p>
        </w:tc>
        <w:tc>
          <w:tcPr>
            <w:tcW w:w="2411" w:type="pct"/>
            <w:vAlign w:val="center"/>
          </w:tcPr>
          <w:p w14:paraId="292DBA8B">
            <w:pPr>
              <w:spacing w:line="320" w:lineRule="exact"/>
              <w:jc w:val="center"/>
              <w:rPr>
                <w:rFonts w:ascii="宋体"/>
              </w:rPr>
            </w:pPr>
            <w:r>
              <w:rPr>
                <w:rFonts w:hint="eastAsia" w:ascii="宋体"/>
              </w:rPr>
              <w:t>项目名称</w:t>
            </w:r>
          </w:p>
        </w:tc>
        <w:tc>
          <w:tcPr>
            <w:tcW w:w="986" w:type="pct"/>
            <w:vAlign w:val="center"/>
          </w:tcPr>
          <w:p w14:paraId="56C0A0E7">
            <w:pPr>
              <w:jc w:val="center"/>
              <w:rPr>
                <w:rFonts w:hint="default" w:ascii="宋体" w:eastAsia="宋体"/>
                <w:lang w:val="en-US" w:eastAsia="zh-CN"/>
              </w:rPr>
            </w:pPr>
            <w:r>
              <w:rPr>
                <w:rFonts w:hint="eastAsia" w:ascii="宋体"/>
                <w:lang w:val="en-US" w:eastAsia="zh-CN"/>
              </w:rPr>
              <w:t>设备名称</w:t>
            </w:r>
          </w:p>
        </w:tc>
        <w:tc>
          <w:tcPr>
            <w:tcW w:w="670" w:type="pct"/>
            <w:vAlign w:val="center"/>
          </w:tcPr>
          <w:p w14:paraId="0CFA4404">
            <w:pPr>
              <w:spacing w:line="320" w:lineRule="exact"/>
              <w:jc w:val="center"/>
              <w:rPr>
                <w:rFonts w:hint="default" w:ascii="宋体" w:eastAsia="宋体"/>
                <w:lang w:val="en-US" w:eastAsia="zh-CN"/>
              </w:rPr>
            </w:pPr>
            <w:r>
              <w:rPr>
                <w:rFonts w:hint="eastAsia" w:ascii="宋体"/>
                <w:lang w:val="en-US" w:eastAsia="zh-CN"/>
              </w:rPr>
              <w:t>设备型号</w:t>
            </w:r>
          </w:p>
        </w:tc>
        <w:tc>
          <w:tcPr>
            <w:tcW w:w="670" w:type="pct"/>
            <w:shd w:val="clear" w:color="auto" w:fill="auto"/>
            <w:vAlign w:val="center"/>
          </w:tcPr>
          <w:p w14:paraId="709FF7FC">
            <w:pPr>
              <w:spacing w:line="320" w:lineRule="exact"/>
              <w:jc w:val="center"/>
              <w:rPr>
                <w:rFonts w:hint="eastAsia" w:ascii="宋体" w:hAnsi="Times New Roman" w:eastAsia="宋体" w:cs="Times New Roman"/>
                <w:kern w:val="2"/>
                <w:sz w:val="21"/>
                <w:lang w:val="en-US" w:eastAsia="zh-CN" w:bidi="ar-SA"/>
              </w:rPr>
            </w:pPr>
            <w:r>
              <w:rPr>
                <w:rFonts w:hint="eastAsia" w:ascii="宋体"/>
                <w:lang w:val="en-US" w:eastAsia="zh-CN"/>
              </w:rPr>
              <w:t>数量</w:t>
            </w:r>
          </w:p>
        </w:tc>
      </w:tr>
      <w:tr w14:paraId="320C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1" w:type="pct"/>
            <w:vAlign w:val="center"/>
          </w:tcPr>
          <w:p w14:paraId="08A317B5">
            <w:pPr>
              <w:spacing w:line="320" w:lineRule="exact"/>
              <w:jc w:val="center"/>
              <w:rPr>
                <w:rFonts w:hint="eastAsia" w:ascii="宋体"/>
              </w:rPr>
            </w:pPr>
            <w:r>
              <w:rPr>
                <w:rFonts w:hint="eastAsia" w:ascii="宋体"/>
              </w:rPr>
              <w:t>1</w:t>
            </w:r>
          </w:p>
        </w:tc>
        <w:tc>
          <w:tcPr>
            <w:tcW w:w="2411" w:type="pct"/>
            <w:vAlign w:val="center"/>
          </w:tcPr>
          <w:p w14:paraId="17BA5D8E">
            <w:pPr>
              <w:spacing w:line="320" w:lineRule="exact"/>
              <w:jc w:val="center"/>
              <w:rPr>
                <w:rFonts w:hint="eastAsia" w:ascii="宋体"/>
                <w:lang w:eastAsia="zh-CN"/>
              </w:rPr>
            </w:pPr>
            <w:r>
              <w:rPr>
                <w:rFonts w:hint="eastAsia" w:ascii="宋体"/>
                <w:lang w:val="en-US" w:eastAsia="zh-CN"/>
              </w:rPr>
              <w:t>铸造一部造型主机压力容器更换维修</w:t>
            </w:r>
          </w:p>
        </w:tc>
        <w:tc>
          <w:tcPr>
            <w:tcW w:w="986" w:type="pct"/>
            <w:vAlign w:val="center"/>
          </w:tcPr>
          <w:p w14:paraId="4B8428BB">
            <w:pPr>
              <w:spacing w:line="320" w:lineRule="exact"/>
              <w:jc w:val="center"/>
              <w:rPr>
                <w:rFonts w:hint="default" w:ascii="宋体"/>
                <w:lang w:val="en-US" w:eastAsia="zh-CN"/>
              </w:rPr>
            </w:pPr>
            <w:r>
              <w:rPr>
                <w:rFonts w:hint="eastAsia" w:ascii="宋体"/>
                <w:lang w:val="en-US" w:eastAsia="zh-CN"/>
              </w:rPr>
              <w:t>静压线主机</w:t>
            </w:r>
          </w:p>
        </w:tc>
        <w:tc>
          <w:tcPr>
            <w:tcW w:w="670" w:type="pct"/>
            <w:vAlign w:val="center"/>
          </w:tcPr>
          <w:p w14:paraId="3466A0FB">
            <w:pPr>
              <w:spacing w:line="320" w:lineRule="exact"/>
              <w:jc w:val="center"/>
              <w:rPr>
                <w:rFonts w:hint="default" w:ascii="宋体"/>
                <w:lang w:val="en-US" w:eastAsia="zh-CN"/>
              </w:rPr>
            </w:pPr>
            <w:r>
              <w:rPr>
                <w:rFonts w:hint="default" w:ascii="宋体"/>
                <w:lang w:val="en-US" w:eastAsia="zh-CN"/>
              </w:rPr>
              <w:t>EFA-SD6.5</w:t>
            </w:r>
          </w:p>
        </w:tc>
        <w:tc>
          <w:tcPr>
            <w:tcW w:w="670" w:type="pct"/>
            <w:shd w:val="clear" w:color="auto" w:fill="auto"/>
            <w:vAlign w:val="center"/>
          </w:tcPr>
          <w:p w14:paraId="31045676">
            <w:pPr>
              <w:spacing w:line="320" w:lineRule="exact"/>
              <w:jc w:val="center"/>
              <w:rPr>
                <w:rFonts w:hint="eastAsia" w:ascii="宋体"/>
                <w:lang w:val="en-US" w:eastAsia="zh-CN"/>
              </w:rPr>
            </w:pPr>
            <w:r>
              <w:rPr>
                <w:rFonts w:hint="eastAsia" w:ascii="宋体"/>
                <w:lang w:val="en-US" w:eastAsia="zh-CN"/>
              </w:rPr>
              <w:t>1台</w:t>
            </w:r>
          </w:p>
        </w:tc>
      </w:tr>
    </w:tbl>
    <w:p w14:paraId="1D186EAC">
      <w:pPr>
        <w:pStyle w:val="25"/>
        <w:spacing w:line="360" w:lineRule="auto"/>
      </w:pPr>
      <w:r>
        <w:rPr>
          <w:rFonts w:hint="eastAsia" w:ascii="黑体" w:eastAsia="黑体"/>
          <w:b/>
          <w:bCs/>
          <w:sz w:val="28"/>
          <w:szCs w:val="28"/>
        </w:rPr>
        <w:t>二、招标方技术要求及施工内容</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w:t>
      </w:r>
      <w:r>
        <w:rPr>
          <w:rFonts w:hint="eastAsia" w:ascii="宋体"/>
          <w:lang w:val="en-US" w:eastAsia="zh-CN"/>
        </w:rPr>
        <w:t>铸造一部造型主机压力容器更换维修</w:t>
      </w:r>
      <w:r>
        <w:rPr>
          <w:rFonts w:hint="eastAsia" w:ascii="宋体" w:hAnsi="宋体"/>
          <w:spacing w:val="4"/>
          <w:szCs w:val="21"/>
          <w:lang w:val="en-US" w:eastAsia="zh-CN"/>
        </w:rPr>
        <w:t>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1、投标方需到现场测量、确定压力容器基本参数，如压力容器容量、压力、基本长度及安装对接部位尺寸等；压力容器介质为：压缩空气。</w:t>
      </w:r>
    </w:p>
    <w:p w14:paraId="3A1263B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2、投标方新制作的压力容器，需满足TSG21-2016《固定式压力容器安全技术监察规程》:压力容器最核心的特种设备安全技术规范，涵盖了压力容器的设计、制造、安装、使用、检验、报废等全生命周期的强制性安全要求，并明确了分类(I、II、III类)及监管界限。</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3、投标方现场拆卸在用压力容器；更换安装新压力容器，新压力容器安装完成后支撑到位、无悬空或顶起，对接部位中心对齐，不受其它外力；管道对接，安装安全阀、压力表等；</w:t>
      </w:r>
    </w:p>
    <w:p w14:paraId="0AFD75C8">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4、新制压力容器的相关资料需符合特种设备安装登记的相关要求；所有安全阀、压力表需有专业机构的检验并出具检验报告和合格标志；</w:t>
      </w:r>
    </w:p>
    <w:p w14:paraId="28B54E5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5、压力容器均按最高设计年限提供，压力容器设计使用年限不低于15年；</w:t>
      </w:r>
    </w:p>
    <w:p w14:paraId="281A0061">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 xml:space="preserve">6、安装完成后进行送气，空载试机检查罐体、各附件的密封性； </w:t>
      </w:r>
    </w:p>
    <w:p w14:paraId="583E717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7、投标方维修完毕出具所有资料报告交于招标方；</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highlight w:val="none"/>
          <w:lang w:val="en-US" w:eastAsia="zh-CN"/>
        </w:rPr>
      </w:pPr>
      <w:r>
        <w:rPr>
          <w:rFonts w:hint="eastAsia" w:ascii="宋体" w:hAnsi="宋体"/>
          <w:spacing w:val="4"/>
          <w:szCs w:val="21"/>
          <w:highlight w:val="none"/>
          <w:lang w:val="en-US" w:eastAsia="zh-CN"/>
        </w:rPr>
        <w:t>8、工期：制作周期20天，现场施工3天内完成。</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spacing w:val="4"/>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7.1本技术协议适用于中国重汽集团济南成型厂铸造一部造型主机压力容器更换维修项目施工。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5A0568D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承包方按照招标文件、投标文件、技术交流文件等形成并达成一致的技术协议书和合同规定验收。</w:t>
      </w:r>
    </w:p>
    <w:p w14:paraId="604203D0">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1．验收</w:t>
      </w:r>
    </w:p>
    <w:p w14:paraId="35E4F74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招标方负责协调各方对铸造一部造型主机压力容器更换维修项目进行验收。验收由相关各方按照合同要求进行。对验收时不符合验收标准的部分，投标方负责整改，费用投标方自理。</w:t>
      </w:r>
    </w:p>
    <w:p w14:paraId="5DADEC8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highlight w:val="none"/>
          <w:lang w:val="en-US" w:eastAsia="zh-CN"/>
        </w:rPr>
      </w:pPr>
      <w:r>
        <w:rPr>
          <w:rFonts w:hint="eastAsia" w:ascii="宋体"/>
          <w:sz w:val="21"/>
          <w:szCs w:val="22"/>
          <w:highlight w:val="none"/>
          <w:lang w:val="en-US" w:eastAsia="zh-CN"/>
        </w:rPr>
        <w:t>2．验收标准</w:t>
      </w:r>
    </w:p>
    <w:p w14:paraId="163F8B0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（1）压力容器安装完毕设备连续生产运行2周以上，设备运行正常。</w:t>
      </w:r>
    </w:p>
    <w:p w14:paraId="604032BF">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（2）压力容器安装可靠，满足特种设备安装检验要求，通过济南市市场监督管理局注册登记并取得特种设备使用登记证视为验收合格。</w:t>
      </w:r>
    </w:p>
    <w:p w14:paraId="3FE495E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hAnsi="宋体" w:eastAsia="宋体" w:cs="Times New Roman"/>
          <w:spacing w:val="4"/>
          <w:kern w:val="2"/>
          <w:sz w:val="21"/>
          <w:szCs w:val="21"/>
          <w:highlight w:val="none"/>
          <w:lang w:val="en-US" w:eastAsia="zh-CN" w:bidi="ar-SA"/>
        </w:rPr>
        <w:t>（3）验收过程中如有问题乙方应及时整改</w:t>
      </w:r>
      <w:r>
        <w:rPr>
          <w:rFonts w:hint="eastAsia" w:ascii="宋体" w:hAnsi="宋体" w:eastAsia="宋体" w:cs="Times New Roman"/>
          <w:spacing w:val="4"/>
          <w:kern w:val="2"/>
          <w:sz w:val="21"/>
          <w:szCs w:val="21"/>
          <w:highlight w:val="none"/>
          <w:lang w:val="en-US" w:eastAsia="zh-CN" w:bidi="ar-SA"/>
        </w:rPr>
        <w:t>。</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353881012"/>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782AAA96">
      <w:pPr>
        <w:pStyle w:val="19"/>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353881017"/>
      <w:bookmarkStart w:id="20" w:name="_Toc26556"/>
      <w:bookmarkStart w:id="21" w:name="_Toc639008"/>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cs="宋体"/>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693"/>
        <w:gridCol w:w="1426"/>
        <w:gridCol w:w="2475"/>
        <w:gridCol w:w="1280"/>
        <w:gridCol w:w="733"/>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693"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426"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2475"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280" w:type="dxa"/>
            <w:tcBorders>
              <w:top w:val="single" w:color="auto" w:sz="4" w:space="0"/>
              <w:left w:val="nil"/>
              <w:bottom w:val="single" w:color="auto" w:sz="4" w:space="0"/>
              <w:right w:val="single" w:color="auto" w:sz="4" w:space="0"/>
            </w:tcBorders>
            <w:vAlign w:val="center"/>
          </w:tcPr>
          <w:p w14:paraId="6AFBBE7A">
            <w:pPr>
              <w:widowControl/>
              <w:jc w:val="center"/>
              <w:rPr>
                <w:rFonts w:hint="default" w:asciiTheme="minorEastAsia" w:hAnsiTheme="minorEastAsia" w:eastAsiaTheme="minorEastAsia" w:cstheme="minorEastAsia"/>
                <w:b/>
                <w:bCs/>
                <w:color w:val="000000"/>
                <w:kern w:val="0"/>
                <w:sz w:val="22"/>
                <w:szCs w:val="22"/>
                <w:lang w:val="en-US"/>
              </w:rPr>
            </w:pPr>
            <w:r>
              <w:rPr>
                <w:rFonts w:hint="eastAsia" w:ascii="宋体" w:hAnsi="宋体" w:cs="宋体"/>
                <w:b/>
                <w:bCs/>
                <w:color w:val="000000"/>
                <w:kern w:val="0"/>
                <w:sz w:val="22"/>
                <w:szCs w:val="22"/>
                <w:lang w:val="en-US" w:eastAsia="zh-CN"/>
              </w:rPr>
              <w:t>单价（未税/元）</w:t>
            </w:r>
          </w:p>
        </w:tc>
        <w:tc>
          <w:tcPr>
            <w:tcW w:w="733"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lang w:val="en-US" w:eastAsia="zh-CN"/>
              </w:rPr>
              <w:t>总</w:t>
            </w:r>
            <w:r>
              <w:rPr>
                <w:rFonts w:hint="eastAsia" w:asciiTheme="minorEastAsia" w:hAnsiTheme="minorEastAsia" w:eastAsiaTheme="minorEastAsia" w:cstheme="minorEastAsia"/>
                <w:b/>
                <w:bCs/>
                <w:color w:val="000000"/>
                <w:kern w:val="0"/>
                <w:sz w:val="22"/>
                <w:szCs w:val="22"/>
              </w:rPr>
              <w:t>价（</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57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693"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铸造一部造型主机压力容器更换维修</w:t>
            </w:r>
            <w:r>
              <w:rPr>
                <w:rFonts w:hint="eastAsia" w:ascii="宋体" w:hAnsi="宋体" w:cs="宋体"/>
                <w:color w:val="auto"/>
                <w:spacing w:val="2"/>
              </w:rPr>
              <w:t>项目</w:t>
            </w:r>
          </w:p>
        </w:tc>
        <w:tc>
          <w:tcPr>
            <w:tcW w:w="1426" w:type="dxa"/>
            <w:tcBorders>
              <w:top w:val="nil"/>
              <w:left w:val="nil"/>
              <w:bottom w:val="single" w:color="auto" w:sz="4" w:space="0"/>
              <w:right w:val="single" w:color="auto" w:sz="4" w:space="0"/>
            </w:tcBorders>
            <w:noWrap/>
            <w:vAlign w:val="center"/>
          </w:tcPr>
          <w:p w14:paraId="3D21E24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 xml:space="preserve">6m³储气罐 </w:t>
            </w:r>
          </w:p>
        </w:tc>
        <w:tc>
          <w:tcPr>
            <w:tcW w:w="2475" w:type="dxa"/>
            <w:tcBorders>
              <w:top w:val="nil"/>
              <w:left w:val="nil"/>
              <w:bottom w:val="single" w:color="auto" w:sz="4" w:space="0"/>
              <w:right w:val="single" w:color="auto" w:sz="4" w:space="0"/>
            </w:tcBorders>
            <w:noWrap/>
            <w:vAlign w:val="center"/>
          </w:tcPr>
          <w:p w14:paraId="6F859096">
            <w:pPr>
              <w:widowControl/>
              <w:jc w:val="center"/>
              <w:textAlignment w:val="center"/>
              <w:rPr>
                <w:rFonts w:hint="eastAsia" w:ascii="宋体" w:hAnsi="宋体" w:cs="宋体"/>
                <w:color w:val="auto"/>
                <w:spacing w:val="2"/>
                <w:lang w:val="en-US" w:eastAsia="zh-CN"/>
              </w:rPr>
            </w:pPr>
            <w:r>
              <w:rPr>
                <w:rFonts w:hint="eastAsia" w:ascii="宋体" w:hAnsi="宋体" w:cs="宋体"/>
                <w:color w:val="FF0000"/>
                <w:spacing w:val="2"/>
                <w:lang w:val="en-US" w:eastAsia="zh-CN"/>
              </w:rPr>
              <w:t>6m³，设计压力1.5MPa，设计使用年限15年、现场量尺定做</w:t>
            </w:r>
          </w:p>
        </w:tc>
        <w:tc>
          <w:tcPr>
            <w:tcW w:w="1280" w:type="dxa"/>
            <w:tcBorders>
              <w:top w:val="single" w:color="auto" w:sz="4" w:space="0"/>
              <w:left w:val="nil"/>
              <w:right w:val="single" w:color="auto" w:sz="4" w:space="0"/>
            </w:tcBorders>
            <w:vAlign w:val="center"/>
          </w:tcPr>
          <w:p w14:paraId="391BE357">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64DF754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台</w:t>
            </w:r>
          </w:p>
        </w:tc>
        <w:tc>
          <w:tcPr>
            <w:tcW w:w="584" w:type="dxa"/>
            <w:tcBorders>
              <w:top w:val="single" w:color="auto" w:sz="4" w:space="0"/>
              <w:left w:val="single" w:color="auto" w:sz="4" w:space="0"/>
              <w:right w:val="single" w:color="auto" w:sz="4" w:space="0"/>
            </w:tcBorders>
            <w:vAlign w:val="center"/>
          </w:tcPr>
          <w:p w14:paraId="1F5F6026">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338A431E">
        <w:tblPrEx>
          <w:tblCellMar>
            <w:top w:w="0" w:type="dxa"/>
            <w:left w:w="108" w:type="dxa"/>
            <w:bottom w:w="0" w:type="dxa"/>
            <w:right w:w="108" w:type="dxa"/>
          </w:tblCellMar>
        </w:tblPrEx>
        <w:trPr>
          <w:trHeight w:val="44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16F9E40">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2</w:t>
            </w:r>
          </w:p>
        </w:tc>
        <w:tc>
          <w:tcPr>
            <w:tcW w:w="693" w:type="dxa"/>
            <w:vMerge w:val="continue"/>
            <w:tcBorders>
              <w:left w:val="single" w:color="auto" w:sz="4" w:space="0"/>
              <w:right w:val="single" w:color="auto" w:sz="4" w:space="0"/>
            </w:tcBorders>
            <w:vAlign w:val="center"/>
          </w:tcPr>
          <w:p w14:paraId="79FE03B5">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FDE253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压力表</w:t>
            </w:r>
          </w:p>
        </w:tc>
        <w:tc>
          <w:tcPr>
            <w:tcW w:w="2475" w:type="dxa"/>
            <w:tcBorders>
              <w:top w:val="nil"/>
              <w:left w:val="nil"/>
              <w:bottom w:val="single" w:color="auto" w:sz="4" w:space="0"/>
              <w:right w:val="single" w:color="auto" w:sz="4" w:space="0"/>
            </w:tcBorders>
            <w:noWrap/>
            <w:vAlign w:val="center"/>
          </w:tcPr>
          <w:p w14:paraId="4850E02E">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w:t>
            </w:r>
          </w:p>
        </w:tc>
        <w:tc>
          <w:tcPr>
            <w:tcW w:w="1280" w:type="dxa"/>
            <w:tcBorders>
              <w:top w:val="single" w:color="auto" w:sz="4" w:space="0"/>
              <w:left w:val="nil"/>
              <w:right w:val="single" w:color="auto" w:sz="4" w:space="0"/>
            </w:tcBorders>
            <w:vAlign w:val="center"/>
          </w:tcPr>
          <w:p w14:paraId="48E690A1">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5A6727B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台</w:t>
            </w:r>
          </w:p>
        </w:tc>
        <w:tc>
          <w:tcPr>
            <w:tcW w:w="584" w:type="dxa"/>
            <w:tcBorders>
              <w:top w:val="single" w:color="auto" w:sz="4" w:space="0"/>
              <w:left w:val="single" w:color="auto" w:sz="4" w:space="0"/>
              <w:right w:val="single" w:color="auto" w:sz="4" w:space="0"/>
            </w:tcBorders>
            <w:vAlign w:val="center"/>
          </w:tcPr>
          <w:p w14:paraId="67083D5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A774AD4">
            <w:pPr>
              <w:widowControl/>
              <w:jc w:val="center"/>
              <w:rPr>
                <w:rFonts w:asciiTheme="minorEastAsia" w:hAnsiTheme="minorEastAsia" w:eastAsiaTheme="minorEastAsia" w:cstheme="minorEastAsia"/>
                <w:color w:val="auto"/>
                <w:kern w:val="0"/>
                <w:sz w:val="22"/>
                <w:szCs w:val="22"/>
              </w:rPr>
            </w:pPr>
          </w:p>
        </w:tc>
      </w:tr>
      <w:tr w14:paraId="50EF5EBA">
        <w:tblPrEx>
          <w:tblCellMar>
            <w:top w:w="0" w:type="dxa"/>
            <w:left w:w="108" w:type="dxa"/>
            <w:bottom w:w="0" w:type="dxa"/>
            <w:right w:w="108" w:type="dxa"/>
          </w:tblCellMar>
        </w:tblPrEx>
        <w:trPr>
          <w:trHeight w:val="400"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320D181">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3</w:t>
            </w:r>
          </w:p>
        </w:tc>
        <w:tc>
          <w:tcPr>
            <w:tcW w:w="693" w:type="dxa"/>
            <w:vMerge w:val="continue"/>
            <w:tcBorders>
              <w:left w:val="single" w:color="auto" w:sz="4" w:space="0"/>
              <w:right w:val="single" w:color="auto" w:sz="4" w:space="0"/>
            </w:tcBorders>
            <w:vAlign w:val="center"/>
          </w:tcPr>
          <w:p w14:paraId="6B0A7950">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03BEC1B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安全阀</w:t>
            </w:r>
          </w:p>
        </w:tc>
        <w:tc>
          <w:tcPr>
            <w:tcW w:w="2475" w:type="dxa"/>
            <w:tcBorders>
              <w:top w:val="nil"/>
              <w:left w:val="nil"/>
              <w:bottom w:val="single" w:color="auto" w:sz="4" w:space="0"/>
              <w:right w:val="single" w:color="auto" w:sz="4" w:space="0"/>
            </w:tcBorders>
            <w:noWrap/>
            <w:vAlign w:val="center"/>
          </w:tcPr>
          <w:p w14:paraId="0B90AD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w:t>
            </w:r>
          </w:p>
        </w:tc>
        <w:tc>
          <w:tcPr>
            <w:tcW w:w="1280" w:type="dxa"/>
            <w:tcBorders>
              <w:top w:val="single" w:color="auto" w:sz="4" w:space="0"/>
              <w:left w:val="nil"/>
              <w:right w:val="single" w:color="auto" w:sz="4" w:space="0"/>
            </w:tcBorders>
            <w:vAlign w:val="center"/>
          </w:tcPr>
          <w:p w14:paraId="3FB1807B">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3F1CB2">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个</w:t>
            </w:r>
          </w:p>
        </w:tc>
        <w:tc>
          <w:tcPr>
            <w:tcW w:w="584" w:type="dxa"/>
            <w:tcBorders>
              <w:top w:val="single" w:color="auto" w:sz="4" w:space="0"/>
              <w:left w:val="single" w:color="auto" w:sz="4" w:space="0"/>
              <w:right w:val="single" w:color="auto" w:sz="4" w:space="0"/>
            </w:tcBorders>
            <w:vAlign w:val="center"/>
          </w:tcPr>
          <w:p w14:paraId="604DB4C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1460300">
            <w:pPr>
              <w:widowControl/>
              <w:jc w:val="center"/>
              <w:rPr>
                <w:rFonts w:asciiTheme="minorEastAsia" w:hAnsiTheme="minorEastAsia" w:eastAsiaTheme="minorEastAsia" w:cstheme="minorEastAsia"/>
                <w:color w:val="auto"/>
                <w:kern w:val="0"/>
                <w:sz w:val="22"/>
                <w:szCs w:val="22"/>
              </w:rPr>
            </w:pPr>
          </w:p>
        </w:tc>
      </w:tr>
      <w:tr w14:paraId="469D6E1E">
        <w:tblPrEx>
          <w:tblCellMar>
            <w:top w:w="0" w:type="dxa"/>
            <w:left w:w="108" w:type="dxa"/>
            <w:bottom w:w="0" w:type="dxa"/>
            <w:right w:w="108" w:type="dxa"/>
          </w:tblCellMar>
        </w:tblPrEx>
        <w:trPr>
          <w:trHeight w:val="41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69FF5B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p>
        </w:tc>
        <w:tc>
          <w:tcPr>
            <w:tcW w:w="693" w:type="dxa"/>
            <w:vMerge w:val="continue"/>
            <w:tcBorders>
              <w:left w:val="single" w:color="auto" w:sz="4" w:space="0"/>
              <w:right w:val="single" w:color="auto" w:sz="4" w:space="0"/>
            </w:tcBorders>
            <w:vAlign w:val="center"/>
          </w:tcPr>
          <w:p w14:paraId="3B25B2B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E6A27D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DN65铸钢球阀</w:t>
            </w:r>
          </w:p>
        </w:tc>
        <w:tc>
          <w:tcPr>
            <w:tcW w:w="2475" w:type="dxa"/>
            <w:tcBorders>
              <w:top w:val="nil"/>
              <w:left w:val="nil"/>
              <w:bottom w:val="single" w:color="auto" w:sz="4" w:space="0"/>
              <w:right w:val="single" w:color="auto" w:sz="4" w:space="0"/>
            </w:tcBorders>
            <w:noWrap/>
            <w:vAlign w:val="center"/>
          </w:tcPr>
          <w:p w14:paraId="6060334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w:t>
            </w:r>
          </w:p>
        </w:tc>
        <w:tc>
          <w:tcPr>
            <w:tcW w:w="1280" w:type="dxa"/>
            <w:tcBorders>
              <w:top w:val="single" w:color="auto" w:sz="4" w:space="0"/>
              <w:left w:val="nil"/>
              <w:right w:val="single" w:color="auto" w:sz="4" w:space="0"/>
            </w:tcBorders>
            <w:vAlign w:val="center"/>
          </w:tcPr>
          <w:p w14:paraId="36AE8DF9">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17C68AFB">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个</w:t>
            </w:r>
          </w:p>
        </w:tc>
        <w:tc>
          <w:tcPr>
            <w:tcW w:w="584" w:type="dxa"/>
            <w:tcBorders>
              <w:top w:val="single" w:color="auto" w:sz="4" w:space="0"/>
              <w:left w:val="single" w:color="auto" w:sz="4" w:space="0"/>
              <w:right w:val="single" w:color="auto" w:sz="4" w:space="0"/>
            </w:tcBorders>
            <w:vAlign w:val="center"/>
          </w:tcPr>
          <w:p w14:paraId="59212FA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2</w:t>
            </w:r>
          </w:p>
        </w:tc>
        <w:tc>
          <w:tcPr>
            <w:tcW w:w="1097" w:type="dxa"/>
            <w:tcBorders>
              <w:top w:val="single" w:color="auto" w:sz="4" w:space="0"/>
              <w:left w:val="single" w:color="auto" w:sz="4" w:space="0"/>
              <w:right w:val="single" w:color="auto" w:sz="4" w:space="0"/>
            </w:tcBorders>
            <w:noWrap/>
            <w:vAlign w:val="center"/>
          </w:tcPr>
          <w:p w14:paraId="6162FD81">
            <w:pPr>
              <w:widowControl/>
              <w:jc w:val="center"/>
              <w:rPr>
                <w:rFonts w:asciiTheme="minorEastAsia" w:hAnsiTheme="minorEastAsia" w:eastAsiaTheme="minorEastAsia" w:cstheme="minorEastAsia"/>
                <w:color w:val="auto"/>
                <w:kern w:val="0"/>
                <w:sz w:val="22"/>
                <w:szCs w:val="22"/>
              </w:rPr>
            </w:pPr>
          </w:p>
        </w:tc>
      </w:tr>
      <w:tr w14:paraId="5D53B70E">
        <w:tblPrEx>
          <w:tblCellMar>
            <w:top w:w="0" w:type="dxa"/>
            <w:left w:w="108" w:type="dxa"/>
            <w:bottom w:w="0" w:type="dxa"/>
            <w:right w:w="108" w:type="dxa"/>
          </w:tblCellMar>
        </w:tblPrEx>
        <w:trPr>
          <w:trHeight w:val="43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37BBA14">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5</w:t>
            </w:r>
          </w:p>
        </w:tc>
        <w:tc>
          <w:tcPr>
            <w:tcW w:w="693" w:type="dxa"/>
            <w:vMerge w:val="continue"/>
            <w:tcBorders>
              <w:left w:val="single" w:color="auto" w:sz="4" w:space="0"/>
              <w:right w:val="single" w:color="auto" w:sz="4" w:space="0"/>
            </w:tcBorders>
            <w:vAlign w:val="center"/>
          </w:tcPr>
          <w:p w14:paraId="03FCD65E">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5D969A9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铸钢法兰</w:t>
            </w:r>
          </w:p>
        </w:tc>
        <w:tc>
          <w:tcPr>
            <w:tcW w:w="2475" w:type="dxa"/>
            <w:tcBorders>
              <w:top w:val="nil"/>
              <w:left w:val="nil"/>
              <w:bottom w:val="single" w:color="auto" w:sz="4" w:space="0"/>
              <w:right w:val="single" w:color="auto" w:sz="4" w:space="0"/>
            </w:tcBorders>
            <w:noWrap/>
            <w:vAlign w:val="center"/>
          </w:tcPr>
          <w:p w14:paraId="17F2F3F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DN65</w:t>
            </w:r>
          </w:p>
        </w:tc>
        <w:tc>
          <w:tcPr>
            <w:tcW w:w="1280" w:type="dxa"/>
            <w:tcBorders>
              <w:top w:val="single" w:color="auto" w:sz="4" w:space="0"/>
              <w:left w:val="nil"/>
              <w:right w:val="single" w:color="auto" w:sz="4" w:space="0"/>
            </w:tcBorders>
            <w:vAlign w:val="center"/>
          </w:tcPr>
          <w:p w14:paraId="3F75CB2D">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7EBE749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片</w:t>
            </w:r>
          </w:p>
        </w:tc>
        <w:tc>
          <w:tcPr>
            <w:tcW w:w="584" w:type="dxa"/>
            <w:tcBorders>
              <w:top w:val="single" w:color="auto" w:sz="4" w:space="0"/>
              <w:left w:val="single" w:color="auto" w:sz="4" w:space="0"/>
              <w:right w:val="single" w:color="auto" w:sz="4" w:space="0"/>
            </w:tcBorders>
            <w:vAlign w:val="center"/>
          </w:tcPr>
          <w:p w14:paraId="270CC8F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4</w:t>
            </w:r>
          </w:p>
        </w:tc>
        <w:tc>
          <w:tcPr>
            <w:tcW w:w="1097" w:type="dxa"/>
            <w:tcBorders>
              <w:top w:val="single" w:color="auto" w:sz="4" w:space="0"/>
              <w:left w:val="single" w:color="auto" w:sz="4" w:space="0"/>
              <w:right w:val="single" w:color="auto" w:sz="4" w:space="0"/>
            </w:tcBorders>
            <w:noWrap/>
            <w:vAlign w:val="center"/>
          </w:tcPr>
          <w:p w14:paraId="76A41672">
            <w:pPr>
              <w:widowControl/>
              <w:jc w:val="center"/>
              <w:rPr>
                <w:rFonts w:asciiTheme="minorEastAsia" w:hAnsiTheme="minorEastAsia" w:eastAsiaTheme="minorEastAsia" w:cstheme="minorEastAsia"/>
                <w:color w:val="auto"/>
                <w:kern w:val="0"/>
                <w:sz w:val="22"/>
                <w:szCs w:val="22"/>
              </w:rPr>
            </w:pPr>
          </w:p>
        </w:tc>
      </w:tr>
      <w:tr w14:paraId="6853354C">
        <w:tblPrEx>
          <w:tblCellMar>
            <w:top w:w="0" w:type="dxa"/>
            <w:left w:w="108" w:type="dxa"/>
            <w:bottom w:w="0" w:type="dxa"/>
            <w:right w:w="108" w:type="dxa"/>
          </w:tblCellMar>
        </w:tblPrEx>
        <w:trPr>
          <w:trHeight w:val="41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1170B">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p>
        </w:tc>
        <w:tc>
          <w:tcPr>
            <w:tcW w:w="693" w:type="dxa"/>
            <w:vMerge w:val="continue"/>
            <w:tcBorders>
              <w:left w:val="single" w:color="auto" w:sz="4" w:space="0"/>
              <w:right w:val="single" w:color="auto" w:sz="4" w:space="0"/>
            </w:tcBorders>
            <w:vAlign w:val="center"/>
          </w:tcPr>
          <w:p w14:paraId="2CD4E2B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1B9F378A">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镀锌螺栓</w:t>
            </w:r>
          </w:p>
        </w:tc>
        <w:tc>
          <w:tcPr>
            <w:tcW w:w="2475" w:type="dxa"/>
            <w:tcBorders>
              <w:top w:val="nil"/>
              <w:left w:val="nil"/>
              <w:bottom w:val="single" w:color="auto" w:sz="4" w:space="0"/>
              <w:right w:val="single" w:color="auto" w:sz="4" w:space="0"/>
            </w:tcBorders>
            <w:noWrap/>
            <w:vAlign w:val="center"/>
          </w:tcPr>
          <w:p w14:paraId="13DF3723">
            <w:pPr>
              <w:widowControl/>
              <w:jc w:val="center"/>
              <w:textAlignment w:val="center"/>
              <w:rPr>
                <w:rFonts w:hint="eastAsia" w:ascii="宋体" w:hAnsi="宋体" w:cs="宋体"/>
                <w:color w:val="FF0000"/>
                <w:spacing w:val="2"/>
                <w:lang w:val="en-US" w:eastAsia="zh-CN"/>
              </w:rPr>
            </w:pPr>
            <w:r>
              <w:rPr>
                <w:rFonts w:hint="eastAsia" w:ascii="宋体" w:hAnsi="宋体" w:cs="宋体"/>
                <w:color w:val="auto"/>
                <w:spacing w:val="2"/>
                <w:lang w:val="en-US" w:eastAsia="zh-CN"/>
              </w:rPr>
              <w:t>M16*70</w:t>
            </w:r>
          </w:p>
        </w:tc>
        <w:tc>
          <w:tcPr>
            <w:tcW w:w="1280" w:type="dxa"/>
            <w:tcBorders>
              <w:top w:val="single" w:color="auto" w:sz="4" w:space="0"/>
              <w:left w:val="nil"/>
              <w:right w:val="single" w:color="auto" w:sz="4" w:space="0"/>
            </w:tcBorders>
            <w:vAlign w:val="center"/>
          </w:tcPr>
          <w:p w14:paraId="07B48664">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168FEAEC">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套</w:t>
            </w:r>
          </w:p>
        </w:tc>
        <w:tc>
          <w:tcPr>
            <w:tcW w:w="584" w:type="dxa"/>
            <w:tcBorders>
              <w:top w:val="single" w:color="auto" w:sz="4" w:space="0"/>
              <w:left w:val="single" w:color="auto" w:sz="4" w:space="0"/>
              <w:right w:val="single" w:color="auto" w:sz="4" w:space="0"/>
            </w:tcBorders>
            <w:vAlign w:val="center"/>
          </w:tcPr>
          <w:p w14:paraId="573840CE">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32</w:t>
            </w:r>
          </w:p>
        </w:tc>
        <w:tc>
          <w:tcPr>
            <w:tcW w:w="1097" w:type="dxa"/>
            <w:tcBorders>
              <w:top w:val="single" w:color="auto" w:sz="4" w:space="0"/>
              <w:left w:val="single" w:color="auto" w:sz="4" w:space="0"/>
              <w:right w:val="single" w:color="auto" w:sz="4" w:space="0"/>
            </w:tcBorders>
            <w:noWrap/>
            <w:vAlign w:val="center"/>
          </w:tcPr>
          <w:p w14:paraId="567B8472">
            <w:pPr>
              <w:widowControl/>
              <w:jc w:val="center"/>
              <w:rPr>
                <w:rFonts w:asciiTheme="minorEastAsia" w:hAnsiTheme="minorEastAsia" w:eastAsiaTheme="minorEastAsia" w:cstheme="minorEastAsia"/>
                <w:color w:val="auto"/>
                <w:kern w:val="0"/>
                <w:sz w:val="22"/>
                <w:szCs w:val="22"/>
              </w:rPr>
            </w:pPr>
          </w:p>
        </w:tc>
      </w:tr>
      <w:tr w14:paraId="79746183">
        <w:tblPrEx>
          <w:tblCellMar>
            <w:top w:w="0" w:type="dxa"/>
            <w:left w:w="108" w:type="dxa"/>
            <w:bottom w:w="0" w:type="dxa"/>
            <w:right w:w="108" w:type="dxa"/>
          </w:tblCellMar>
        </w:tblPrEx>
        <w:trPr>
          <w:trHeight w:val="51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0C7894FC">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p>
        </w:tc>
        <w:tc>
          <w:tcPr>
            <w:tcW w:w="693" w:type="dxa"/>
            <w:vMerge w:val="continue"/>
            <w:tcBorders>
              <w:left w:val="single" w:color="auto" w:sz="4" w:space="0"/>
              <w:right w:val="single" w:color="auto" w:sz="4" w:space="0"/>
            </w:tcBorders>
            <w:vAlign w:val="center"/>
          </w:tcPr>
          <w:p w14:paraId="20A305D3">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3F2A55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压力表第三方检测费</w:t>
            </w:r>
          </w:p>
        </w:tc>
        <w:tc>
          <w:tcPr>
            <w:tcW w:w="2475" w:type="dxa"/>
            <w:tcBorders>
              <w:top w:val="nil"/>
              <w:left w:val="nil"/>
              <w:bottom w:val="single" w:color="auto" w:sz="4" w:space="0"/>
              <w:right w:val="single" w:color="auto" w:sz="4" w:space="0"/>
            </w:tcBorders>
            <w:noWrap/>
            <w:vAlign w:val="center"/>
          </w:tcPr>
          <w:p w14:paraId="39D14481">
            <w:pPr>
              <w:widowControl/>
              <w:jc w:val="center"/>
              <w:textAlignment w:val="center"/>
              <w:rPr>
                <w:rFonts w:hint="default" w:ascii="宋体" w:hAnsi="宋体" w:cs="宋体"/>
                <w:color w:val="FF0000"/>
                <w:spacing w:val="2"/>
                <w:lang w:val="en-US" w:eastAsia="zh-CN"/>
              </w:rPr>
            </w:pPr>
            <w:r>
              <w:rPr>
                <w:rFonts w:hint="eastAsia" w:ascii="宋体" w:hAnsi="宋体" w:cs="宋体"/>
                <w:color w:val="auto"/>
                <w:spacing w:val="2"/>
                <w:lang w:val="en-US" w:eastAsia="zh-CN"/>
              </w:rPr>
              <w:t>出具第三方报告、合格标志</w:t>
            </w:r>
          </w:p>
        </w:tc>
        <w:tc>
          <w:tcPr>
            <w:tcW w:w="1280" w:type="dxa"/>
            <w:tcBorders>
              <w:top w:val="single" w:color="auto" w:sz="4" w:space="0"/>
              <w:left w:val="nil"/>
              <w:right w:val="single" w:color="auto" w:sz="4" w:space="0"/>
            </w:tcBorders>
            <w:vAlign w:val="center"/>
          </w:tcPr>
          <w:p w14:paraId="36C2222B">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62BA6E1D">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0838FEF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505B1FBD">
            <w:pPr>
              <w:widowControl/>
              <w:jc w:val="center"/>
              <w:rPr>
                <w:rFonts w:asciiTheme="minorEastAsia" w:hAnsiTheme="minorEastAsia" w:eastAsiaTheme="minorEastAsia" w:cstheme="minorEastAsia"/>
                <w:color w:val="auto"/>
                <w:kern w:val="0"/>
                <w:sz w:val="22"/>
                <w:szCs w:val="22"/>
              </w:rPr>
            </w:pPr>
          </w:p>
        </w:tc>
      </w:tr>
      <w:tr w14:paraId="7B57A042">
        <w:tblPrEx>
          <w:tblCellMar>
            <w:top w:w="0" w:type="dxa"/>
            <w:left w:w="108" w:type="dxa"/>
            <w:bottom w:w="0" w:type="dxa"/>
            <w:right w:w="108" w:type="dxa"/>
          </w:tblCellMar>
        </w:tblPrEx>
        <w:trPr>
          <w:trHeight w:val="584"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827E6FE">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8</w:t>
            </w:r>
          </w:p>
        </w:tc>
        <w:tc>
          <w:tcPr>
            <w:tcW w:w="693" w:type="dxa"/>
            <w:vMerge w:val="continue"/>
            <w:tcBorders>
              <w:left w:val="single" w:color="auto" w:sz="4" w:space="0"/>
              <w:right w:val="single" w:color="auto" w:sz="4" w:space="0"/>
            </w:tcBorders>
            <w:vAlign w:val="center"/>
          </w:tcPr>
          <w:p w14:paraId="1DF60043">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EC65FB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安全阀第三方检测费</w:t>
            </w:r>
          </w:p>
        </w:tc>
        <w:tc>
          <w:tcPr>
            <w:tcW w:w="2475" w:type="dxa"/>
            <w:tcBorders>
              <w:top w:val="nil"/>
              <w:left w:val="nil"/>
              <w:bottom w:val="single" w:color="auto" w:sz="4" w:space="0"/>
              <w:right w:val="single" w:color="auto" w:sz="4" w:space="0"/>
            </w:tcBorders>
            <w:noWrap/>
            <w:vAlign w:val="center"/>
          </w:tcPr>
          <w:p w14:paraId="58F1689E">
            <w:pPr>
              <w:widowControl/>
              <w:jc w:val="center"/>
              <w:textAlignment w:val="center"/>
              <w:rPr>
                <w:rFonts w:hint="eastAsia" w:ascii="宋体" w:hAnsi="宋体" w:cs="宋体"/>
                <w:color w:val="FF0000"/>
                <w:spacing w:val="2"/>
                <w:lang w:val="en-US" w:eastAsia="zh-CN"/>
              </w:rPr>
            </w:pPr>
            <w:r>
              <w:rPr>
                <w:rFonts w:hint="eastAsia" w:ascii="宋体" w:hAnsi="宋体" w:cs="宋体"/>
                <w:color w:val="auto"/>
                <w:spacing w:val="2"/>
                <w:lang w:val="en-US" w:eastAsia="zh-CN"/>
              </w:rPr>
              <w:t>出具第三方报告、合格标志</w:t>
            </w:r>
          </w:p>
        </w:tc>
        <w:tc>
          <w:tcPr>
            <w:tcW w:w="1280" w:type="dxa"/>
            <w:tcBorders>
              <w:top w:val="single" w:color="auto" w:sz="4" w:space="0"/>
              <w:left w:val="nil"/>
              <w:right w:val="single" w:color="auto" w:sz="4" w:space="0"/>
            </w:tcBorders>
            <w:vAlign w:val="center"/>
          </w:tcPr>
          <w:p w14:paraId="59470506">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55A93AC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5C29F3E1">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77F1D819">
            <w:pPr>
              <w:widowControl/>
              <w:jc w:val="center"/>
              <w:rPr>
                <w:rFonts w:asciiTheme="minorEastAsia" w:hAnsiTheme="minorEastAsia" w:eastAsiaTheme="minorEastAsia" w:cstheme="minorEastAsia"/>
                <w:color w:val="auto"/>
                <w:kern w:val="0"/>
                <w:sz w:val="22"/>
                <w:szCs w:val="22"/>
              </w:rPr>
            </w:pPr>
          </w:p>
        </w:tc>
      </w:tr>
      <w:tr w14:paraId="57BAB2E6">
        <w:tblPrEx>
          <w:tblCellMar>
            <w:top w:w="0" w:type="dxa"/>
            <w:left w:w="108" w:type="dxa"/>
            <w:bottom w:w="0" w:type="dxa"/>
            <w:right w:w="108" w:type="dxa"/>
          </w:tblCellMar>
        </w:tblPrEx>
        <w:trPr>
          <w:trHeight w:val="57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54636E3">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9</w:t>
            </w:r>
          </w:p>
        </w:tc>
        <w:tc>
          <w:tcPr>
            <w:tcW w:w="693" w:type="dxa"/>
            <w:vMerge w:val="continue"/>
            <w:tcBorders>
              <w:left w:val="single" w:color="auto" w:sz="4" w:space="0"/>
              <w:right w:val="single" w:color="auto" w:sz="4" w:space="0"/>
            </w:tcBorders>
            <w:vAlign w:val="center"/>
          </w:tcPr>
          <w:p w14:paraId="4C224084">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3C9DF6C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告知书手续费</w:t>
            </w:r>
          </w:p>
        </w:tc>
        <w:tc>
          <w:tcPr>
            <w:tcW w:w="2475" w:type="dxa"/>
            <w:tcBorders>
              <w:top w:val="nil"/>
              <w:left w:val="nil"/>
              <w:bottom w:val="single" w:color="auto" w:sz="4" w:space="0"/>
              <w:right w:val="single" w:color="auto" w:sz="4" w:space="0"/>
            </w:tcBorders>
            <w:noWrap/>
            <w:vAlign w:val="center"/>
          </w:tcPr>
          <w:p w14:paraId="4EE632F8">
            <w:pPr>
              <w:widowControl/>
              <w:jc w:val="center"/>
              <w:textAlignment w:val="center"/>
              <w:rPr>
                <w:rFonts w:hint="eastAsia" w:ascii="宋体" w:hAnsi="宋体" w:cs="宋体"/>
                <w:color w:val="FF0000"/>
                <w:spacing w:val="2"/>
                <w:lang w:val="en-US" w:eastAsia="zh-CN"/>
              </w:rPr>
            </w:pPr>
          </w:p>
        </w:tc>
        <w:tc>
          <w:tcPr>
            <w:tcW w:w="1280" w:type="dxa"/>
            <w:tcBorders>
              <w:top w:val="single" w:color="auto" w:sz="4" w:space="0"/>
              <w:left w:val="nil"/>
              <w:right w:val="single" w:color="auto" w:sz="4" w:space="0"/>
            </w:tcBorders>
            <w:vAlign w:val="center"/>
          </w:tcPr>
          <w:p w14:paraId="6F4BA587">
            <w:pPr>
              <w:widowControl/>
              <w:jc w:val="center"/>
              <w:textAlignment w:val="center"/>
              <w:rPr>
                <w:rFonts w:hint="default"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004459AF">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份</w:t>
            </w:r>
          </w:p>
        </w:tc>
        <w:tc>
          <w:tcPr>
            <w:tcW w:w="584" w:type="dxa"/>
            <w:tcBorders>
              <w:top w:val="single" w:color="auto" w:sz="4" w:space="0"/>
              <w:left w:val="single" w:color="auto" w:sz="4" w:space="0"/>
              <w:right w:val="single" w:color="auto" w:sz="4" w:space="0"/>
            </w:tcBorders>
            <w:vAlign w:val="center"/>
          </w:tcPr>
          <w:p w14:paraId="54BF81B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1775B10">
            <w:pPr>
              <w:widowControl/>
              <w:jc w:val="center"/>
              <w:rPr>
                <w:rFonts w:asciiTheme="minorEastAsia" w:hAnsiTheme="minorEastAsia" w:eastAsiaTheme="minorEastAsia" w:cstheme="minorEastAsia"/>
                <w:color w:val="auto"/>
                <w:kern w:val="0"/>
                <w:sz w:val="22"/>
                <w:szCs w:val="22"/>
              </w:rPr>
            </w:pPr>
          </w:p>
        </w:tc>
      </w:tr>
      <w:tr w14:paraId="0003F14A">
        <w:tblPrEx>
          <w:tblCellMar>
            <w:top w:w="0" w:type="dxa"/>
            <w:left w:w="108" w:type="dxa"/>
            <w:bottom w:w="0" w:type="dxa"/>
            <w:right w:w="108" w:type="dxa"/>
          </w:tblCellMar>
        </w:tblPrEx>
        <w:trPr>
          <w:trHeight w:val="75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60AA26">
            <w:pPr>
              <w:widowControl/>
              <w:jc w:val="center"/>
              <w:textAlignment w:val="center"/>
              <w:rPr>
                <w:rFonts w:hint="default"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10</w:t>
            </w:r>
          </w:p>
        </w:tc>
        <w:tc>
          <w:tcPr>
            <w:tcW w:w="693" w:type="dxa"/>
            <w:vMerge w:val="continue"/>
            <w:tcBorders>
              <w:left w:val="single" w:color="auto" w:sz="4" w:space="0"/>
              <w:right w:val="single" w:color="auto" w:sz="4" w:space="0"/>
            </w:tcBorders>
            <w:vAlign w:val="center"/>
          </w:tcPr>
          <w:p w14:paraId="2E48CA62">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59081E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w:t>
            </w:r>
          </w:p>
        </w:tc>
        <w:tc>
          <w:tcPr>
            <w:tcW w:w="2475" w:type="dxa"/>
            <w:tcBorders>
              <w:top w:val="nil"/>
              <w:left w:val="nil"/>
              <w:bottom w:val="single" w:color="auto" w:sz="4" w:space="0"/>
              <w:right w:val="single" w:color="auto" w:sz="4" w:space="0"/>
            </w:tcBorders>
            <w:noWrap/>
            <w:vAlign w:val="center"/>
          </w:tcPr>
          <w:p w14:paraId="0E7D2590">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现场测绘、储气罐拆除、厂内运输、安装、阀门更换安装等人工费，X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280" w:type="dxa"/>
            <w:tcBorders>
              <w:top w:val="single" w:color="auto" w:sz="4" w:space="0"/>
              <w:left w:val="nil"/>
              <w:right w:val="single" w:color="auto" w:sz="4" w:space="0"/>
            </w:tcBorders>
            <w:vAlign w:val="center"/>
          </w:tcPr>
          <w:p w14:paraId="62921764">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3C242DC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2E0EE732">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59E4AE2">
            <w:pPr>
              <w:widowControl/>
              <w:jc w:val="center"/>
              <w:rPr>
                <w:rFonts w:asciiTheme="minorEastAsia" w:hAnsiTheme="minorEastAsia" w:eastAsiaTheme="minorEastAsia" w:cstheme="minorEastAsia"/>
                <w:color w:val="auto"/>
                <w:kern w:val="0"/>
                <w:sz w:val="22"/>
                <w:szCs w:val="22"/>
              </w:rPr>
            </w:pPr>
          </w:p>
        </w:tc>
      </w:tr>
      <w:tr w14:paraId="010616EC">
        <w:tblPrEx>
          <w:tblCellMar>
            <w:top w:w="0" w:type="dxa"/>
            <w:left w:w="108" w:type="dxa"/>
            <w:bottom w:w="0" w:type="dxa"/>
            <w:right w:w="108" w:type="dxa"/>
          </w:tblCellMar>
        </w:tblPrEx>
        <w:trPr>
          <w:trHeight w:val="44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548C13ED">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11</w:t>
            </w:r>
          </w:p>
        </w:tc>
        <w:tc>
          <w:tcPr>
            <w:tcW w:w="693" w:type="dxa"/>
            <w:vMerge w:val="continue"/>
            <w:tcBorders>
              <w:left w:val="single" w:color="auto" w:sz="4" w:space="0"/>
              <w:right w:val="single" w:color="auto" w:sz="4" w:space="0"/>
            </w:tcBorders>
            <w:vAlign w:val="center"/>
          </w:tcPr>
          <w:p w14:paraId="2CCD2ED8">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4BABAB8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运输费</w:t>
            </w:r>
          </w:p>
        </w:tc>
        <w:tc>
          <w:tcPr>
            <w:tcW w:w="2475" w:type="dxa"/>
            <w:tcBorders>
              <w:top w:val="nil"/>
              <w:left w:val="nil"/>
              <w:bottom w:val="single" w:color="auto" w:sz="4" w:space="0"/>
              <w:right w:val="single" w:color="auto" w:sz="4" w:space="0"/>
            </w:tcBorders>
            <w:noWrap/>
            <w:vAlign w:val="center"/>
          </w:tcPr>
          <w:p w14:paraId="0CD3F384">
            <w:pPr>
              <w:widowControl/>
              <w:jc w:val="center"/>
              <w:textAlignment w:val="center"/>
              <w:rPr>
                <w:rFonts w:hint="default" w:ascii="宋体" w:hAnsi="宋体" w:cs="宋体"/>
                <w:color w:val="FF0000"/>
                <w:spacing w:val="2"/>
                <w:lang w:val="en-US" w:eastAsia="zh-CN"/>
              </w:rPr>
            </w:pPr>
            <w:r>
              <w:rPr>
                <w:rFonts w:hint="eastAsia" w:ascii="宋体" w:hAnsi="宋体" w:cs="宋体"/>
                <w:color w:val="FF0000"/>
                <w:spacing w:val="2"/>
                <w:lang w:val="en-US" w:eastAsia="zh-CN"/>
              </w:rPr>
              <w:t>/</w:t>
            </w:r>
          </w:p>
        </w:tc>
        <w:tc>
          <w:tcPr>
            <w:tcW w:w="1280" w:type="dxa"/>
            <w:tcBorders>
              <w:top w:val="single" w:color="auto" w:sz="4" w:space="0"/>
              <w:left w:val="nil"/>
              <w:right w:val="single" w:color="auto" w:sz="4" w:space="0"/>
            </w:tcBorders>
            <w:vAlign w:val="center"/>
          </w:tcPr>
          <w:p w14:paraId="577AAD7E">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411C92">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4CB01F18">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A25D686">
            <w:pPr>
              <w:widowControl/>
              <w:jc w:val="center"/>
              <w:rPr>
                <w:rFonts w:asciiTheme="minorEastAsia" w:hAnsiTheme="minorEastAsia" w:eastAsiaTheme="minorEastAsia" w:cstheme="minorEastAsia"/>
                <w:color w:val="auto"/>
                <w:kern w:val="0"/>
                <w:sz w:val="22"/>
                <w:szCs w:val="22"/>
              </w:rPr>
            </w:pPr>
          </w:p>
        </w:tc>
      </w:tr>
      <w:tr w14:paraId="4683DC72">
        <w:tblPrEx>
          <w:tblCellMar>
            <w:top w:w="0" w:type="dxa"/>
            <w:left w:w="108" w:type="dxa"/>
            <w:bottom w:w="0" w:type="dxa"/>
            <w:right w:w="108" w:type="dxa"/>
          </w:tblCellMar>
        </w:tblPrEx>
        <w:trPr>
          <w:trHeight w:val="41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3A154F7">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12</w:t>
            </w:r>
          </w:p>
        </w:tc>
        <w:tc>
          <w:tcPr>
            <w:tcW w:w="693" w:type="dxa"/>
            <w:vMerge w:val="continue"/>
            <w:tcBorders>
              <w:left w:val="single" w:color="auto" w:sz="4" w:space="0"/>
              <w:right w:val="single" w:color="auto" w:sz="4" w:space="0"/>
            </w:tcBorders>
            <w:vAlign w:val="center"/>
          </w:tcPr>
          <w:p w14:paraId="0A3D980A">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22234954">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吊车费</w:t>
            </w:r>
          </w:p>
        </w:tc>
        <w:tc>
          <w:tcPr>
            <w:tcW w:w="2475" w:type="dxa"/>
            <w:tcBorders>
              <w:top w:val="nil"/>
              <w:left w:val="nil"/>
              <w:bottom w:val="single" w:color="auto" w:sz="4" w:space="0"/>
              <w:right w:val="single" w:color="auto" w:sz="4" w:space="0"/>
            </w:tcBorders>
            <w:noWrap/>
            <w:vAlign w:val="center"/>
          </w:tcPr>
          <w:p w14:paraId="465E6DE2">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25吨吊车</w:t>
            </w:r>
          </w:p>
        </w:tc>
        <w:tc>
          <w:tcPr>
            <w:tcW w:w="1280" w:type="dxa"/>
            <w:tcBorders>
              <w:top w:val="single" w:color="auto" w:sz="4" w:space="0"/>
              <w:left w:val="nil"/>
              <w:right w:val="single" w:color="auto" w:sz="4" w:space="0"/>
            </w:tcBorders>
            <w:vAlign w:val="center"/>
          </w:tcPr>
          <w:p w14:paraId="225BED5A">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3310FE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7ADEEB31">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97F2E14">
            <w:pPr>
              <w:widowControl/>
              <w:jc w:val="center"/>
              <w:rPr>
                <w:rFonts w:asciiTheme="minorEastAsia" w:hAnsiTheme="minorEastAsia" w:eastAsiaTheme="minorEastAsia" w:cstheme="minorEastAsia"/>
                <w:color w:val="auto"/>
                <w:kern w:val="0"/>
                <w:sz w:val="22"/>
                <w:szCs w:val="22"/>
              </w:rPr>
            </w:pPr>
          </w:p>
        </w:tc>
      </w:tr>
      <w:tr w14:paraId="63DC2437">
        <w:tblPrEx>
          <w:tblCellMar>
            <w:top w:w="0" w:type="dxa"/>
            <w:left w:w="108" w:type="dxa"/>
            <w:bottom w:w="0" w:type="dxa"/>
            <w:right w:w="108" w:type="dxa"/>
          </w:tblCellMar>
        </w:tblPrEx>
        <w:trPr>
          <w:trHeight w:val="364"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068D0E2B">
            <w:pPr>
              <w:widowControl/>
              <w:jc w:val="center"/>
              <w:textAlignment w:val="center"/>
              <w:rPr>
                <w:rFonts w:hint="default" w:ascii="宋体" w:hAnsi="宋体" w:cs="宋体"/>
                <w:color w:val="auto"/>
                <w:kern w:val="0"/>
                <w:sz w:val="22"/>
                <w:szCs w:val="22"/>
                <w:lang w:val="en-US" w:eastAsia="zh-CN" w:bidi="ar"/>
              </w:rPr>
            </w:pPr>
            <w:r>
              <w:rPr>
                <w:rFonts w:hint="eastAsia" w:ascii="宋体" w:hAnsi="宋体" w:cs="宋体"/>
                <w:color w:val="auto"/>
                <w:kern w:val="0"/>
                <w:sz w:val="22"/>
                <w:szCs w:val="22"/>
                <w:lang w:val="en-US" w:eastAsia="zh-CN" w:bidi="ar"/>
              </w:rPr>
              <w:t>13</w:t>
            </w:r>
          </w:p>
        </w:tc>
        <w:tc>
          <w:tcPr>
            <w:tcW w:w="693" w:type="dxa"/>
            <w:vMerge w:val="continue"/>
            <w:tcBorders>
              <w:left w:val="single" w:color="auto" w:sz="4" w:space="0"/>
              <w:right w:val="single" w:color="auto" w:sz="4" w:space="0"/>
            </w:tcBorders>
            <w:vAlign w:val="center"/>
          </w:tcPr>
          <w:p w14:paraId="621375E5">
            <w:pPr>
              <w:widowControl/>
              <w:jc w:val="center"/>
              <w:textAlignment w:val="center"/>
              <w:rPr>
                <w:rFonts w:hint="eastAsia" w:ascii="宋体" w:hAnsi="宋体" w:cs="宋体"/>
                <w:color w:val="auto"/>
                <w:spacing w:val="2"/>
                <w:lang w:val="en-US" w:eastAsia="zh-CN"/>
              </w:rPr>
            </w:pPr>
          </w:p>
        </w:tc>
        <w:tc>
          <w:tcPr>
            <w:tcW w:w="1426" w:type="dxa"/>
            <w:tcBorders>
              <w:top w:val="nil"/>
              <w:left w:val="nil"/>
              <w:bottom w:val="single" w:color="auto" w:sz="4" w:space="0"/>
              <w:right w:val="single" w:color="auto" w:sz="4" w:space="0"/>
            </w:tcBorders>
            <w:noWrap/>
            <w:vAlign w:val="center"/>
          </w:tcPr>
          <w:p w14:paraId="1BDAB887">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 xml:space="preserve">利润  </w:t>
            </w:r>
          </w:p>
        </w:tc>
        <w:tc>
          <w:tcPr>
            <w:tcW w:w="2475" w:type="dxa"/>
            <w:tcBorders>
              <w:top w:val="nil"/>
              <w:left w:val="nil"/>
              <w:bottom w:val="single" w:color="auto" w:sz="4" w:space="0"/>
              <w:right w:val="single" w:color="auto" w:sz="4" w:space="0"/>
            </w:tcBorders>
            <w:noWrap/>
            <w:vAlign w:val="center"/>
          </w:tcPr>
          <w:p w14:paraId="5076C804">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约8%</w:t>
            </w:r>
          </w:p>
        </w:tc>
        <w:tc>
          <w:tcPr>
            <w:tcW w:w="1280" w:type="dxa"/>
            <w:tcBorders>
              <w:top w:val="single" w:color="auto" w:sz="4" w:space="0"/>
              <w:left w:val="nil"/>
              <w:right w:val="single" w:color="auto" w:sz="4" w:space="0"/>
            </w:tcBorders>
            <w:vAlign w:val="center"/>
          </w:tcPr>
          <w:p w14:paraId="287DBEF2">
            <w:pPr>
              <w:widowControl/>
              <w:jc w:val="center"/>
              <w:textAlignment w:val="center"/>
              <w:rPr>
                <w:rFonts w:hint="eastAsia" w:ascii="宋体" w:hAnsi="宋体" w:cs="宋体"/>
                <w:color w:val="auto"/>
                <w:spacing w:val="2"/>
                <w:lang w:val="en-US" w:eastAsia="zh-CN"/>
              </w:rPr>
            </w:pPr>
          </w:p>
        </w:tc>
        <w:tc>
          <w:tcPr>
            <w:tcW w:w="733" w:type="dxa"/>
            <w:tcBorders>
              <w:top w:val="single" w:color="auto" w:sz="4" w:space="0"/>
              <w:left w:val="single" w:color="auto" w:sz="4" w:space="0"/>
              <w:right w:val="single" w:color="auto" w:sz="4" w:space="0"/>
            </w:tcBorders>
            <w:vAlign w:val="center"/>
          </w:tcPr>
          <w:p w14:paraId="2F20CE1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7D55D2AE">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6300D91A">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14</w:t>
            </w:r>
          </w:p>
        </w:tc>
        <w:tc>
          <w:tcPr>
            <w:tcW w:w="693"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2475"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280"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733"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39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15</w:t>
            </w:r>
          </w:p>
        </w:tc>
        <w:tc>
          <w:tcPr>
            <w:tcW w:w="693"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2475"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280"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733"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41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16</w:t>
            </w:r>
          </w:p>
        </w:tc>
        <w:tc>
          <w:tcPr>
            <w:tcW w:w="693"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426"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2475"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280"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733"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CF7DBAB">
      <w:pPr>
        <w:pStyle w:val="229"/>
        <w:ind w:firstLine="0" w:firstLineChars="0"/>
        <w:rPr>
          <w:rFonts w:hint="eastAsia" w:cs="宋体"/>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46A27536">
      <w:pPr>
        <w:spacing w:line="360" w:lineRule="auto"/>
        <w:rPr>
          <w:rFonts w:hint="eastAsia" w:ascii="仿宋" w:hAnsi="仿宋" w:eastAsia="仿宋"/>
          <w:b/>
          <w:sz w:val="40"/>
          <w:szCs w:val="44"/>
          <w:lang w:val="en-US" w:eastAsia="zh-CN"/>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9925771">
      <w:pPr>
        <w:pStyle w:val="25"/>
        <w:spacing w:line="360" w:lineRule="auto"/>
        <w:ind w:left="1014" w:leftChars="-6" w:hanging="1027" w:hangingChars="428"/>
        <w:rPr>
          <w:rFonts w:hint="eastAsia"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0"/>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0"/>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1"/>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2"/>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2"/>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19"/>
      </w:pPr>
    </w:p>
    <w:p w14:paraId="530C050F">
      <w:pPr>
        <w:pStyle w:val="20"/>
      </w:pPr>
    </w:p>
    <w:p w14:paraId="627961F4">
      <w:pPr>
        <w:pStyle w:val="20"/>
      </w:pPr>
    </w:p>
    <w:p w14:paraId="3474615E">
      <w:pPr>
        <w:pStyle w:val="20"/>
      </w:pPr>
    </w:p>
    <w:p w14:paraId="7F2AA4FC">
      <w:pPr>
        <w:pStyle w:val="20"/>
      </w:pPr>
    </w:p>
    <w:p w14:paraId="31A3EFFA">
      <w:pPr>
        <w:pStyle w:val="20"/>
      </w:pPr>
    </w:p>
    <w:p w14:paraId="0897D9D9">
      <w:pPr>
        <w:pStyle w:val="20"/>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3"/>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13970"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4"/>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5"/>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AE07F140"/>
    <w:multiLevelType w:val="singleLevel"/>
    <w:tmpl w:val="AE07F140"/>
    <w:lvl w:ilvl="0" w:tentative="0">
      <w:start w:val="19"/>
      <w:numFmt w:val="decimal"/>
      <w:suff w:val="nothing"/>
      <w:lvlText w:val="%1、"/>
      <w:lvlJc w:val="left"/>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AF0723E"/>
    <w:multiLevelType w:val="singleLevel"/>
    <w:tmpl w:val="4AF0723E"/>
    <w:lvl w:ilvl="0" w:tentative="0">
      <w:start w:val="2"/>
      <w:numFmt w:val="chineseCounting"/>
      <w:suff w:val="nothing"/>
      <w:lvlText w:val="%1、"/>
      <w:lvlJc w:val="left"/>
      <w:rPr>
        <w:rFonts w:hint="eastAsia"/>
      </w:rPr>
    </w:lvl>
  </w:abstractNum>
  <w:abstractNum w:abstractNumId="11">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2">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3">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1"/>
  </w:num>
  <w:num w:numId="2">
    <w:abstractNumId w:val="5"/>
  </w:num>
  <w:num w:numId="3">
    <w:abstractNumId w:val="12"/>
  </w:num>
  <w:num w:numId="4">
    <w:abstractNumId w:val="1"/>
  </w:num>
  <w:num w:numId="5">
    <w:abstractNumId w:val="0"/>
  </w:num>
  <w:num w:numId="6">
    <w:abstractNumId w:val="14"/>
  </w:num>
  <w:num w:numId="7">
    <w:abstractNumId w:val="9"/>
  </w:num>
  <w:num w:numId="8">
    <w:abstractNumId w:val="7"/>
  </w:num>
  <w:num w:numId="9">
    <w:abstractNumId w:val="13"/>
  </w:num>
  <w:num w:numId="10">
    <w:abstractNumId w:val="8"/>
  </w:num>
  <w:num w:numId="11">
    <w:abstractNumId w:val="6"/>
  </w:num>
  <w:num w:numId="12">
    <w:abstractNumId w:val="4"/>
  </w:num>
  <w:num w:numId="13">
    <w:abstractNumId w:val="3"/>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E93094"/>
    <w:rsid w:val="06F53074"/>
    <w:rsid w:val="07023F13"/>
    <w:rsid w:val="0829293A"/>
    <w:rsid w:val="0941188A"/>
    <w:rsid w:val="09756E61"/>
    <w:rsid w:val="0A0B50CF"/>
    <w:rsid w:val="0A420FE1"/>
    <w:rsid w:val="0AD007F3"/>
    <w:rsid w:val="0B8F08F0"/>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B27A7"/>
    <w:rsid w:val="1868332D"/>
    <w:rsid w:val="193675DD"/>
    <w:rsid w:val="194660D8"/>
    <w:rsid w:val="197D694C"/>
    <w:rsid w:val="197E4D0F"/>
    <w:rsid w:val="1AE479A2"/>
    <w:rsid w:val="1C185B56"/>
    <w:rsid w:val="1DA82577"/>
    <w:rsid w:val="1E1170AC"/>
    <w:rsid w:val="1F291C0C"/>
    <w:rsid w:val="1F5C696D"/>
    <w:rsid w:val="1F962CF2"/>
    <w:rsid w:val="202A21E1"/>
    <w:rsid w:val="218235F1"/>
    <w:rsid w:val="2197576F"/>
    <w:rsid w:val="22A44CDF"/>
    <w:rsid w:val="22CA1038"/>
    <w:rsid w:val="234A764E"/>
    <w:rsid w:val="252A68FA"/>
    <w:rsid w:val="253009F4"/>
    <w:rsid w:val="25F44B01"/>
    <w:rsid w:val="27155217"/>
    <w:rsid w:val="27DE5205"/>
    <w:rsid w:val="281108A2"/>
    <w:rsid w:val="297E0FC2"/>
    <w:rsid w:val="29C928E7"/>
    <w:rsid w:val="29CE3EAA"/>
    <w:rsid w:val="2A7C02EC"/>
    <w:rsid w:val="2A8F7CD5"/>
    <w:rsid w:val="2AA72FB4"/>
    <w:rsid w:val="2B3F4DD2"/>
    <w:rsid w:val="2B9654FA"/>
    <w:rsid w:val="2BB37649"/>
    <w:rsid w:val="2C2D426E"/>
    <w:rsid w:val="2E427F0E"/>
    <w:rsid w:val="2E7345D1"/>
    <w:rsid w:val="2FBA0ACE"/>
    <w:rsid w:val="30B53EA3"/>
    <w:rsid w:val="30D140CD"/>
    <w:rsid w:val="317A4765"/>
    <w:rsid w:val="327D0F19"/>
    <w:rsid w:val="32855967"/>
    <w:rsid w:val="33BF0D95"/>
    <w:rsid w:val="340842AA"/>
    <w:rsid w:val="353F5A8C"/>
    <w:rsid w:val="36DE1355"/>
    <w:rsid w:val="372A78B2"/>
    <w:rsid w:val="37AF0F6E"/>
    <w:rsid w:val="38107BD1"/>
    <w:rsid w:val="382316B2"/>
    <w:rsid w:val="382611A3"/>
    <w:rsid w:val="38B10E44"/>
    <w:rsid w:val="38F06470"/>
    <w:rsid w:val="391A0E43"/>
    <w:rsid w:val="392D3BCE"/>
    <w:rsid w:val="393D26BB"/>
    <w:rsid w:val="396B689B"/>
    <w:rsid w:val="3A39340F"/>
    <w:rsid w:val="3A5B7C10"/>
    <w:rsid w:val="3C3170AD"/>
    <w:rsid w:val="3CBC0F5F"/>
    <w:rsid w:val="3D9C2881"/>
    <w:rsid w:val="3DF1437C"/>
    <w:rsid w:val="3E09134A"/>
    <w:rsid w:val="3E6D045A"/>
    <w:rsid w:val="3F1B08B7"/>
    <w:rsid w:val="3F801B0E"/>
    <w:rsid w:val="40124630"/>
    <w:rsid w:val="40B3559D"/>
    <w:rsid w:val="413C1020"/>
    <w:rsid w:val="41A55A6F"/>
    <w:rsid w:val="429D2840"/>
    <w:rsid w:val="432A5FEB"/>
    <w:rsid w:val="440640BA"/>
    <w:rsid w:val="457C68A6"/>
    <w:rsid w:val="45B527CD"/>
    <w:rsid w:val="45CE100B"/>
    <w:rsid w:val="45EF2E88"/>
    <w:rsid w:val="462A00B0"/>
    <w:rsid w:val="46D92B01"/>
    <w:rsid w:val="470B7BE0"/>
    <w:rsid w:val="47AB2561"/>
    <w:rsid w:val="483C3E0E"/>
    <w:rsid w:val="48607A47"/>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BE172A"/>
    <w:rsid w:val="4FD97D99"/>
    <w:rsid w:val="50D74B46"/>
    <w:rsid w:val="51654692"/>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62E111E"/>
    <w:rsid w:val="673F2C72"/>
    <w:rsid w:val="67BB236C"/>
    <w:rsid w:val="67C648ED"/>
    <w:rsid w:val="68790CF7"/>
    <w:rsid w:val="688428DF"/>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287C14"/>
    <w:rsid w:val="75CD3E17"/>
    <w:rsid w:val="76323600"/>
    <w:rsid w:val="76683156"/>
    <w:rsid w:val="7704653F"/>
    <w:rsid w:val="78576904"/>
    <w:rsid w:val="79B6534F"/>
    <w:rsid w:val="7A8F4EBB"/>
    <w:rsid w:val="7B280A87"/>
    <w:rsid w:val="7B29035B"/>
    <w:rsid w:val="7B4E6013"/>
    <w:rsid w:val="7B802C44"/>
    <w:rsid w:val="7C883345"/>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39</Pages>
  <Words>9831</Words>
  <Characters>10161</Characters>
  <Lines>52</Lines>
  <Paragraphs>14</Paragraphs>
  <TotalTime>28</TotalTime>
  <ScaleCrop>false</ScaleCrop>
  <LinksUpToDate>false</LinksUpToDate>
  <CharactersWithSpaces>10579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2026-09-03T07:12:23Z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